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rFonts w:ascii="Arial Narrow" w:cs="Arial Narrow" w:eastAsia="Arial Narrow" w:hAnsi="Arial Narrow"/>
          <w:color w:val="000000"/>
          <w:sz w:val="20"/>
          <w:szCs w:val="20"/>
        </w:rPr>
      </w:pPr>
      <w:bookmarkStart w:colFirst="0" w:colLast="0" w:name="_gjdgxs" w:id="0"/>
      <w:bookmarkEnd w:id="0"/>
      <w:r w:rsidDel="00000000" w:rsidR="00000000" w:rsidRPr="00000000">
        <w:rPr>
          <w:rFonts w:ascii="Arial Narrow" w:cs="Arial Narrow" w:eastAsia="Arial Narrow" w:hAnsi="Arial Narrow"/>
          <w:color w:val="000000"/>
          <w:sz w:val="20"/>
          <w:szCs w:val="20"/>
          <w:rtl w:val="0"/>
        </w:rPr>
        <w:t xml:space="preserve">COMISIÓN DISTRITAL DE SEGURIDAD, COMODIDAD Y CONVIVENCIA PARA EL FÚTBOL DE BOGOTÁ CDSCCFB  09-09-2019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Comisión Distrital de Seguridad, Comodidad y Convivencia para el Fútbol de Bogotá -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rsidR="00000000" w:rsidDel="00000000" w:rsidP="00000000" w:rsidRDefault="00000000" w:rsidRPr="00000000" w14:paraId="00000004">
      <w:pPr>
        <w:shd w:fill="ffffff" w:val="clea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hinchas y las barras futboleras en el Estadio Nemesio Camacho El Campín y Metropolitano de Techo como en cada una de las localidades.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Por lo tanto, la CDSCCFB establece las siguientes medidas de seguridad y convivencia:</w:t>
      </w:r>
    </w:p>
    <w:p w:rsidR="00000000" w:rsidDel="00000000" w:rsidP="00000000" w:rsidRDefault="00000000" w:rsidRPr="00000000" w14:paraId="0000000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Liga Águila: </w:t>
      </w:r>
      <w:r w:rsidDel="00000000" w:rsidR="00000000" w:rsidRPr="00000000">
        <w:rPr>
          <w:rFonts w:ascii="Arial Narrow" w:cs="Arial Narrow" w:eastAsia="Arial Narrow" w:hAnsi="Arial Narrow"/>
          <w:b w:val="1"/>
          <w:rtl w:val="0"/>
        </w:rPr>
        <w:t xml:space="preserve">La Equidad vs Patriotas Boyacá</w:t>
      </w:r>
      <w:r w:rsidDel="00000000" w:rsidR="00000000" w:rsidRPr="00000000">
        <w:rPr>
          <w:rFonts w:ascii="Arial Narrow" w:cs="Arial Narrow" w:eastAsia="Arial Narrow" w:hAnsi="Arial Narrow"/>
          <w:rtl w:val="0"/>
        </w:rPr>
        <w:t xml:space="preserve">, programado para el sábado 14 de septiembre de 2019, en el Estadio Metropolitano de Techo.</w:t>
      </w:r>
    </w:p>
    <w:p w:rsidR="00000000" w:rsidDel="00000000" w:rsidP="00000000" w:rsidRDefault="00000000" w:rsidRPr="00000000" w14:paraId="0000000A">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Inicio del partido: 5:30 p.m.</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Apertura de puertas al público: 4:30 p.m.</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dispone de puertas abiertas a los aficionados e hinchas visitantes.</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habilitará únicamente la Tribuna Occidental Norte.</w:t>
      </w:r>
    </w:p>
    <w:p w:rsidR="00000000" w:rsidDel="00000000" w:rsidP="00000000" w:rsidRDefault="00000000" w:rsidRPr="00000000" w14:paraId="0000000F">
      <w:pPr>
        <w:numPr>
          <w:ilvl w:val="0"/>
          <w:numId w:val="3"/>
        </w:numPr>
        <w:shd w:fill="ffffff" w:val="clear"/>
        <w:spacing w:after="280" w:before="0" w:line="240" w:lineRule="auto"/>
        <w:ind w:left="720" w:hanging="360"/>
        <w:rPr/>
      </w:pPr>
      <w:r w:rsidDel="00000000" w:rsidR="00000000" w:rsidRPr="00000000">
        <w:rPr>
          <w:rFonts w:ascii="Arial Narrow" w:cs="Arial Narrow" w:eastAsia="Arial Narrow" w:hAnsi="Arial Narrow"/>
          <w:rtl w:val="0"/>
        </w:rPr>
        <w:t xml:space="preserve">Los menores de 14 años deberán estar acompañados por un adulto responsable.</w:t>
      </w:r>
    </w:p>
    <w:p w:rsidR="00000000" w:rsidDel="00000000" w:rsidP="00000000" w:rsidRDefault="00000000" w:rsidRPr="00000000" w14:paraId="00000010">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Liga Águila 2019: </w:t>
      </w:r>
      <w:r w:rsidDel="00000000" w:rsidR="00000000" w:rsidRPr="00000000">
        <w:rPr>
          <w:rFonts w:ascii="Arial Narrow" w:cs="Arial Narrow" w:eastAsia="Arial Narrow" w:hAnsi="Arial Narrow"/>
          <w:b w:val="1"/>
          <w:rtl w:val="0"/>
        </w:rPr>
        <w:t xml:space="preserve"> Millonarios F.C. vs Deportivo Pasto</w:t>
      </w:r>
      <w:r w:rsidDel="00000000" w:rsidR="00000000" w:rsidRPr="00000000">
        <w:rPr>
          <w:rFonts w:ascii="Arial Narrow" w:cs="Arial Narrow" w:eastAsia="Arial Narrow" w:hAnsi="Arial Narrow"/>
          <w:rtl w:val="0"/>
        </w:rPr>
        <w:t xml:space="preserve"> para el domingo 15 de agosto de 2019, en el Estadio Nemesio Camacho El Campín.</w:t>
      </w:r>
    </w:p>
    <w:p w:rsidR="00000000" w:rsidDel="00000000" w:rsidP="00000000" w:rsidRDefault="00000000" w:rsidRPr="00000000" w14:paraId="0000001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numPr>
          <w:ilvl w:val="0"/>
          <w:numId w:val="3"/>
        </w:numPr>
        <w:spacing w:after="0" w:line="240" w:lineRule="auto"/>
        <w:ind w:left="720" w:hanging="360"/>
        <w:jc w:val="both"/>
        <w:rPr/>
      </w:pPr>
      <w:r w:rsidDel="00000000" w:rsidR="00000000" w:rsidRPr="00000000">
        <w:rPr>
          <w:rFonts w:ascii="Arial Narrow" w:cs="Arial Narrow" w:eastAsia="Arial Narrow" w:hAnsi="Arial Narrow"/>
          <w:rtl w:val="0"/>
        </w:rPr>
        <w:t xml:space="preserve">Inicio del partido 5:00 p.m.</w:t>
      </w:r>
    </w:p>
    <w:p w:rsidR="00000000" w:rsidDel="00000000" w:rsidP="00000000" w:rsidRDefault="00000000" w:rsidRPr="00000000" w14:paraId="00000013">
      <w:pPr>
        <w:numPr>
          <w:ilvl w:val="0"/>
          <w:numId w:val="3"/>
        </w:numPr>
        <w:spacing w:after="0" w:line="240" w:lineRule="auto"/>
        <w:ind w:left="720" w:hanging="360"/>
        <w:jc w:val="both"/>
        <w:rPr/>
      </w:pPr>
      <w:r w:rsidDel="00000000" w:rsidR="00000000" w:rsidRPr="00000000">
        <w:rPr>
          <w:rFonts w:ascii="Arial Narrow" w:cs="Arial Narrow" w:eastAsia="Arial Narrow" w:hAnsi="Arial Narrow"/>
          <w:rtl w:val="0"/>
        </w:rPr>
        <w:t xml:space="preserve">Apertura de puertas al público 3:00 p.m.</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Fonts w:ascii="Arial Narrow" w:cs="Arial Narrow" w:eastAsia="Arial Narrow" w:hAnsi="Arial Narrow"/>
          <w:rtl w:val="0"/>
        </w:rPr>
        <w:t xml:space="preserve">Ingreso de elementos de las barras futboleras de 2:00 p.m. a 3:00 p.m.</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dispone de puertas abiertas a los aficionados e hinchas del equipo visitante quienes podrán ingresar a la Tribuna Oriental Norte.</w:t>
      </w:r>
    </w:p>
    <w:p w:rsidR="00000000" w:rsidDel="00000000" w:rsidP="00000000" w:rsidRDefault="00000000" w:rsidRPr="00000000" w14:paraId="00000016">
      <w:pPr>
        <w:numPr>
          <w:ilvl w:val="0"/>
          <w:numId w:val="3"/>
        </w:numPr>
        <w:spacing w:after="0" w:line="240" w:lineRule="auto"/>
        <w:ind w:left="720" w:hanging="360"/>
        <w:jc w:val="both"/>
        <w:rPr/>
      </w:pPr>
      <w:r w:rsidDel="00000000" w:rsidR="00000000" w:rsidRPr="00000000">
        <w:rPr>
          <w:rFonts w:ascii="Arial Narrow" w:cs="Arial Narrow" w:eastAsia="Arial Narrow" w:hAnsi="Arial Narrow"/>
          <w:rtl w:val="0"/>
        </w:rPr>
        <w:t xml:space="preserve">En la Tribuna Occidental se podrá ingresar con las dos camisetas, es decir, los hinchas de Millonarios F.C. y Deportivo Pasto tienen la oportunidad de compartir un mismo espacio.</w:t>
      </w:r>
    </w:p>
    <w:p w:rsidR="00000000" w:rsidDel="00000000" w:rsidP="00000000" w:rsidRDefault="00000000" w:rsidRPr="00000000" w14:paraId="00000017">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edad para ingresar a las tribunas es la siguiente: </w:t>
      </w:r>
    </w:p>
    <w:p w:rsidR="00000000" w:rsidDel="00000000" w:rsidP="00000000" w:rsidRDefault="00000000" w:rsidRPr="00000000" w14:paraId="00000019">
      <w:pPr>
        <w:spacing w:after="0" w:line="240" w:lineRule="auto"/>
        <w:ind w:left="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2781"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Tribuna Sur desde los 14 años de edad.</w:t>
      </w:r>
    </w:p>
    <w:p w:rsidR="00000000" w:rsidDel="00000000" w:rsidP="00000000" w:rsidRDefault="00000000" w:rsidRPr="00000000" w14:paraId="0000001B">
      <w:pPr>
        <w:numPr>
          <w:ilvl w:val="0"/>
          <w:numId w:val="4"/>
        </w:numPr>
        <w:spacing w:after="0" w:line="240" w:lineRule="auto"/>
        <w:ind w:left="2781"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Tribuna Norte desde los 5 años hasta los 12 años de edad.</w:t>
      </w:r>
    </w:p>
    <w:p w:rsidR="00000000" w:rsidDel="00000000" w:rsidP="00000000" w:rsidRDefault="00000000" w:rsidRPr="00000000" w14:paraId="0000001C">
      <w:pPr>
        <w:numPr>
          <w:ilvl w:val="0"/>
          <w:numId w:val="4"/>
        </w:numPr>
        <w:spacing w:after="0" w:line="240" w:lineRule="auto"/>
        <w:ind w:left="2781"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Tribunas de Oriental Central y Oriental Sur desde los 5 años de edad.</w:t>
      </w:r>
    </w:p>
    <w:p w:rsidR="00000000" w:rsidDel="00000000" w:rsidP="00000000" w:rsidRDefault="00000000" w:rsidRPr="00000000" w14:paraId="0000001D">
      <w:pPr>
        <w:numPr>
          <w:ilvl w:val="0"/>
          <w:numId w:val="4"/>
        </w:numPr>
        <w:spacing w:after="0" w:line="240" w:lineRule="auto"/>
        <w:ind w:left="2781"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Tribunas de Oriental Norte desde los 14 años de edad.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Restricciones Barras Futboleras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Por acciones contrarias a la seguridad, la convivencia y la comodidad establecidas en el numeral 6.1. Anexo 1: Medidas para Aficionados, Hinchas y Barras Futboleras, del Protocolo Distrital de Seguridad, Comodidad y Convivencia en el Fútbol de Bogotá D.C. - PDSCCFB, las Barras Futboleras del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Deportivo de Pasto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 podrán ingresar ningún elemento de animación.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Torneo Águila: </w:t>
      </w:r>
      <w:r w:rsidDel="00000000" w:rsidR="00000000" w:rsidRPr="00000000">
        <w:rPr>
          <w:rFonts w:ascii="Arial Narrow" w:cs="Arial Narrow" w:eastAsia="Arial Narrow" w:hAnsi="Arial Narrow"/>
          <w:b w:val="1"/>
          <w:rtl w:val="0"/>
        </w:rPr>
        <w:t xml:space="preserve">Tigres F.C. vs Deportes Quindío</w:t>
      </w:r>
      <w:r w:rsidDel="00000000" w:rsidR="00000000" w:rsidRPr="00000000">
        <w:rPr>
          <w:rFonts w:ascii="Arial Narrow" w:cs="Arial Narrow" w:eastAsia="Arial Narrow" w:hAnsi="Arial Narrow"/>
          <w:rtl w:val="0"/>
        </w:rPr>
        <w:t xml:space="preserve">, programado para el domingo 15 de septiembre de 2019, en el Estadio Metropolitano de Techo.</w:t>
      </w:r>
    </w:p>
    <w:p w:rsidR="00000000" w:rsidDel="00000000" w:rsidP="00000000" w:rsidRDefault="00000000" w:rsidRPr="00000000" w14:paraId="0000002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Inicio del partido: 2:00 p.m.</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Apertura de puertas al público: 1:30 p.m.</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habilitará únicamente la Tribuna Occidental Norte.</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dispone de puertas abiertas a los aficionados e hinchas visitantes.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hanging="72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Prohibido el traslado de personas de una tribuna a otra.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 acuerdo con el numeral 6.2. Anexo 1: Medidas para Aficionados, Hinchas y Barras Futboleras, del Protocolo Distrital de Seguridad, Comodidad y Convivencia e</w:t>
      </w:r>
      <w:r w:rsidDel="00000000" w:rsidR="00000000" w:rsidRPr="00000000">
        <w:rPr>
          <w:rFonts w:ascii="Arial Narrow" w:cs="Arial Narrow" w:eastAsia="Arial Narrow" w:hAnsi="Arial Narrow"/>
          <w:rtl w:val="0"/>
        </w:rPr>
        <w:t xml:space="preserve">n el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Fútbol de Bogotá D.C. - PDSCCFB, está prohibido realizar traslados de asistentes entre tribunas por temas de acomodación, es decir, los aficionados deben permanecer en el lugar asignado según lo indicado en la boleta de ingreso al escenario deportivo, de lo contrario pueden ser retirados del escenario deportivo por la autoridad competente.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hanging="72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hanging="72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Elementos no autorizados.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 acuerdo con el numeral 3 Anexo 1: Medida para Aficionados, Hinchas y Barras Futboleras, del Protocolo Distrital de Seguridad, Comodidad y Convivencia en el Fútbol de Bogotá D.C. – PDSCCFB, la CDSCCFB prohíbe el ingreso de los siguientes elementos a los estadios El Campín y Techo:</w:t>
      </w:r>
    </w:p>
    <w:p w:rsidR="00000000" w:rsidDel="00000000" w:rsidP="00000000" w:rsidRDefault="00000000" w:rsidRPr="00000000" w14:paraId="0000002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Pólvora</w:t>
      </w:r>
    </w:p>
    <w:p w:rsidR="00000000" w:rsidDel="00000000" w:rsidP="00000000" w:rsidRDefault="00000000" w:rsidRPr="00000000" w14:paraId="0000002E">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Juegos pirotécnicos de cualquier tipo</w:t>
      </w:r>
    </w:p>
    <w:p w:rsidR="00000000" w:rsidDel="00000000" w:rsidP="00000000" w:rsidRDefault="00000000" w:rsidRPr="00000000" w14:paraId="0000002F">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Elementos de animación activados por combustible líquido o a gas</w:t>
      </w:r>
    </w:p>
    <w:p w:rsidR="00000000" w:rsidDel="00000000" w:rsidP="00000000" w:rsidRDefault="00000000" w:rsidRPr="00000000" w14:paraId="00000030">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Globos de helio o cualquier otro elemento de combustión</w:t>
      </w:r>
    </w:p>
    <w:p w:rsidR="00000000" w:rsidDel="00000000" w:rsidP="00000000" w:rsidRDefault="00000000" w:rsidRPr="00000000" w14:paraId="00000031">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Alcohol</w:t>
      </w:r>
    </w:p>
    <w:p w:rsidR="00000000" w:rsidDel="00000000" w:rsidP="00000000" w:rsidRDefault="00000000" w:rsidRPr="00000000" w14:paraId="00000032">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Sustancias sicotrópicas</w:t>
      </w:r>
    </w:p>
    <w:p w:rsidR="00000000" w:rsidDel="00000000" w:rsidP="00000000" w:rsidRDefault="00000000" w:rsidRPr="00000000" w14:paraId="00000033">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Botas para almacenar alcohol</w:t>
      </w:r>
    </w:p>
    <w:p w:rsidR="00000000" w:rsidDel="00000000" w:rsidP="00000000" w:rsidRDefault="00000000" w:rsidRPr="00000000" w14:paraId="00000034">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Correas de chapa gruesa</w:t>
      </w:r>
    </w:p>
    <w:p w:rsidR="00000000" w:rsidDel="00000000" w:rsidP="00000000" w:rsidRDefault="00000000" w:rsidRPr="00000000" w14:paraId="00000035">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Morrales o maletines</w:t>
      </w:r>
    </w:p>
    <w:p w:rsidR="00000000" w:rsidDel="00000000" w:rsidP="00000000" w:rsidRDefault="00000000" w:rsidRPr="00000000" w14:paraId="00000036">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Bolsas de cualquier tipo</w:t>
      </w:r>
    </w:p>
    <w:p w:rsidR="00000000" w:rsidDel="00000000" w:rsidP="00000000" w:rsidRDefault="00000000" w:rsidRPr="00000000" w14:paraId="00000037">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Elementos de rayo láser</w:t>
      </w:r>
    </w:p>
    <w:p w:rsidR="00000000" w:rsidDel="00000000" w:rsidP="00000000" w:rsidRDefault="00000000" w:rsidRPr="00000000" w14:paraId="00000038">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Armas blancas</w:t>
      </w:r>
    </w:p>
    <w:p w:rsidR="00000000" w:rsidDel="00000000" w:rsidP="00000000" w:rsidRDefault="00000000" w:rsidRPr="00000000" w14:paraId="00000039">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Armas de fuego</w:t>
      </w:r>
    </w:p>
    <w:p w:rsidR="00000000" w:rsidDel="00000000" w:rsidP="00000000" w:rsidRDefault="00000000" w:rsidRPr="00000000" w14:paraId="0000003A">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Todo aquel elemento que a juicio de la CDSCCFB puedan de alguna manera atentar contra el normal desarrollo del espectáculo</w:t>
      </w:r>
    </w:p>
    <w:p w:rsidR="00000000" w:rsidDel="00000000" w:rsidP="00000000" w:rsidRDefault="00000000" w:rsidRPr="00000000" w14:paraId="0000003B">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Extintores</w:t>
      </w:r>
    </w:p>
    <w:p w:rsidR="00000000" w:rsidDel="00000000" w:rsidP="00000000" w:rsidRDefault="00000000" w:rsidRPr="00000000" w14:paraId="0000003C">
      <w:pPr>
        <w:numPr>
          <w:ilvl w:val="0"/>
          <w:numId w:val="2"/>
        </w:numPr>
        <w:spacing w:after="0" w:line="240" w:lineRule="auto"/>
        <w:ind w:left="720" w:hanging="360"/>
        <w:jc w:val="both"/>
        <w:rPr/>
      </w:pPr>
      <w:r w:rsidDel="00000000" w:rsidR="00000000" w:rsidRPr="00000000">
        <w:rPr>
          <w:rFonts w:ascii="Arial Narrow" w:cs="Arial Narrow" w:eastAsia="Arial Narrow" w:hAnsi="Arial Narrow"/>
          <w:rtl w:val="0"/>
        </w:rPr>
        <w:t xml:space="preserve">Papel picado</w:t>
      </w:r>
    </w:p>
    <w:p w:rsidR="00000000" w:rsidDel="00000000" w:rsidP="00000000" w:rsidRDefault="00000000" w:rsidRPr="00000000" w14:paraId="0000003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 Invitamos a todos los asistentes a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rsidR="00000000" w:rsidDel="00000000" w:rsidP="00000000" w:rsidRDefault="00000000" w:rsidRPr="00000000" w14:paraId="0000003F">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Cordialmente,</w:t>
      </w:r>
    </w:p>
    <w:p w:rsidR="00000000" w:rsidDel="00000000" w:rsidP="00000000" w:rsidRDefault="00000000" w:rsidRPr="00000000" w14:paraId="00000042">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COMISIÓN DISTRITAL DE SEGURIDAD, COMODIDAD Y CONVIVENCIA PARA EL FÚTBOL DE BOGOTÁ</w:t>
      </w:r>
    </w:p>
    <w:sectPr>
      <w:headerReference r:id="rId6" w:type="default"/>
      <w:footerReference r:id="rId7" w:type="default"/>
      <w:pgSz w:h="15840" w:w="12240"/>
      <w:pgMar w:bottom="1701" w:top="2410"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Narrow"/>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-452754</wp:posOffset>
              </wp:positionH>
              <wp:positionV relativeFrom="paragraph">
                <wp:posOffset>-247649</wp:posOffset>
              </wp:positionV>
              <wp:extent cx="1828800" cy="800100"/>
              <wp:effectExtent b="0" l="0" r="0" t="0"/>
              <wp:wrapNone/>
              <wp:docPr id="6" name=""/>
              <a:graphic>
                <a:graphicData uri="http://schemas.microsoft.com/office/word/2010/wordprocessingShape">
                  <wps:wsp>
                    <wps:cNvSpPr>
                      <a:spLocks/>
                    </wps:cNvSpPr>
                    <wps:spPr bwMode="auto">
                      <a:xfrm>
                        <a:off x="0" y="0"/>
                        <a:ext cx="1828800" cy="800100"/>
                      </a:xfrm>
                      <a:prstGeom prst="rect">
                        <a:avLst/>
                      </a:prstGeom>
                      <a:solidFill>
                        <a:srgbClr val="FFFFFF"/>
                      </a:solidFill>
                      <a:ln>
                        <a:noFill/>
                      </a:ln>
                    </wps:spPr>
                    <wps:txbx>
                      <w:txbxContent>
                        <w:p w:rsidR="00C7590A" w:rsidDel="00000000" w:rsidP="00392EAA" w:rsidRDefault="00C7590A" w:rsidRPr="00000000" w14:paraId="23B17036" w14:textId="77777777">
                          <w:pPr>
                            <w:spacing w:after="0" w:line="240" w:lineRule="auto"/>
                            <w:rPr>
                              <w:rFonts w:ascii="Arial" w:cs="Arial" w:hAnsi="Arial"/>
                              <w:sz w:val="16"/>
                              <w:szCs w:val="16"/>
                              <w:lang w:val="es-MX"/>
                            </w:rPr>
                          </w:pPr>
                        </w:p>
                        <w:p w:rsidR="00C7590A" w:rsidDel="00000000" w:rsidP="00392EAA" w:rsidRDefault="00C7590A" w:rsidRPr="00A026ED" w14:paraId="692A8189" w14:textId="77777777">
                          <w:pPr>
                            <w:spacing w:after="0" w:line="240" w:lineRule="auto"/>
                            <w:rPr>
                              <w:rFonts w:ascii="Arial" w:cs="Arial" w:hAnsi="Arial"/>
                              <w:sz w:val="16"/>
                              <w:szCs w:val="16"/>
                              <w:lang w:val="es-MX"/>
                            </w:rPr>
                          </w:pPr>
                        </w:p>
                        <w:p w:rsidR="00C7590A" w:rsidDel="00000000" w:rsidP="00392EAA" w:rsidRDefault="00C7590A" w:rsidRPr="00000000" w14:paraId="1EB84E45" w14:textId="77777777">
                          <w:pPr>
                            <w:spacing w:after="0" w:line="240" w:lineRule="auto"/>
                            <w:rPr>
                              <w:rFonts w:ascii="Arial" w:cs="Arial" w:hAnsi="Arial"/>
                              <w:sz w:val="16"/>
                              <w:szCs w:val="16"/>
                              <w:lang w:val="es-MX"/>
                            </w:rPr>
                          </w:pPr>
                          <w:proofErr w:type="spellStart"/>
                          <w:r w:rsidDel="00000000" w:rsidR="00000000" w:rsidRPr="00A026ED">
                            <w:rPr>
                              <w:rFonts w:ascii="Arial" w:cs="Arial" w:hAnsi="Arial"/>
                              <w:sz w:val="16"/>
                              <w:szCs w:val="16"/>
                              <w:lang w:val="es-MX"/>
                            </w:rPr>
                            <w:t>Av</w:t>
                          </w:r>
                          <w:proofErr w:type="spellEnd"/>
                          <w:r w:rsidDel="00000000" w:rsidR="00000000" w:rsidRPr="00A026ED">
                            <w:rPr>
                              <w:rFonts w:ascii="Arial" w:cs="Arial" w:hAnsi="Arial"/>
                              <w:sz w:val="16"/>
                              <w:szCs w:val="16"/>
                              <w:lang w:val="es-MX"/>
                            </w:rPr>
                            <w:t xml:space="preserve"> Calle 26 No. 57 – 83 </w:t>
                          </w:r>
                          <w:r w:rsidDel="00000000" w:rsidR="00000000" w:rsidRPr="00000000">
                            <w:rPr>
                              <w:rFonts w:ascii="Arial" w:cs="Arial" w:hAnsi="Arial"/>
                              <w:sz w:val="16"/>
                              <w:szCs w:val="16"/>
                              <w:lang w:val="es-MX"/>
                            </w:rPr>
                            <w:t xml:space="preserve">Torre 7  </w:t>
                          </w:r>
                        </w:p>
                        <w:p w:rsidR="00C7590A" w:rsidDel="00000000" w:rsidP="00392EAA" w:rsidRDefault="00C7590A" w:rsidRPr="00000000" w14:paraId="1F9F7D51" w14:textId="77777777">
                          <w:pPr>
                            <w:spacing w:after="0" w:line="240" w:lineRule="auto"/>
                            <w:rPr>
                              <w:rFonts w:ascii="Arial" w:cs="Arial" w:hAnsi="Arial"/>
                              <w:sz w:val="16"/>
                              <w:szCs w:val="16"/>
                              <w:lang w:val="es-MX"/>
                            </w:rPr>
                          </w:pPr>
                          <w:r w:rsidDel="00000000" w:rsidR="00000000" w:rsidRPr="00000000">
                            <w:rPr>
                              <w:rFonts w:ascii="Arial" w:cs="Arial" w:hAnsi="Arial"/>
                              <w:sz w:val="16"/>
                              <w:szCs w:val="16"/>
                              <w:lang w:val="es-MX"/>
                            </w:rPr>
                            <w:t>Código Postal: 111321</w:t>
                          </w:r>
                        </w:p>
                        <w:p w:rsidR="00C7590A" w:rsidDel="00000000" w:rsidP="00392EAA" w:rsidRDefault="00C7590A" w:rsidRPr="00000000" w14:paraId="44975482" w14:textId="77777777">
                          <w:pPr>
                            <w:spacing w:line="240" w:lineRule="auto"/>
                            <w:rPr>
                              <w:rFonts w:ascii="Arial" w:cs="Arial" w:hAnsi="Arial"/>
                              <w:sz w:val="16"/>
                              <w:szCs w:val="16"/>
                              <w:lang w:val="es-MX"/>
                            </w:rPr>
                          </w:pPr>
                          <w:r w:rsidDel="00000000" w:rsidR="00000000" w:rsidRPr="00000000">
                            <w:rPr>
                              <w:rFonts w:ascii="Arial" w:cs="Arial" w:hAnsi="Arial"/>
                              <w:sz w:val="16"/>
                              <w:szCs w:val="16"/>
                              <w:lang w:val="es-MX"/>
                            </w:rPr>
                            <w:t>www.scj.gov.co</w:t>
                          </w:r>
                        </w:p>
                      </w:txbxContent>
                    </wps:txbx>
                    <wps:bodyPr anchorCtr="0" anchor="t" bIns="46355" lIns="92075" rIns="92075" rot="0" upright="1" vert="horz" wrap="square" tIns="4635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-452754</wp:posOffset>
              </wp:positionH>
              <wp:positionV relativeFrom="paragraph">
                <wp:posOffset>-247649</wp:posOffset>
              </wp:positionV>
              <wp:extent cx="1828800" cy="8001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8001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5013325</wp:posOffset>
          </wp:positionH>
          <wp:positionV relativeFrom="paragraph">
            <wp:posOffset>-180974</wp:posOffset>
          </wp:positionV>
          <wp:extent cx="941070" cy="69088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41070" cy="69088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2428875</wp:posOffset>
              </wp:positionH>
              <wp:positionV relativeFrom="paragraph">
                <wp:posOffset>165735</wp:posOffset>
              </wp:positionV>
              <wp:extent cx="1257300" cy="228600"/>
              <wp:effectExtent b="0" l="0" r="0" t="0"/>
              <wp:wrapNone/>
              <wp:docPr id="5" name=""/>
              <a:graphic>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rsidR="00C7590A" w:rsidDel="00000000" w:rsidP="00847139" w:rsidRDefault="00C7590A" w:rsidRPr="00D06F79" w14:paraId="0E53FB7D" w14:textId="77777777">
                          <w:pPr>
                            <w:jc w:val="center"/>
                            <w:rPr>
                              <w:rFonts w:ascii="Arial" w:hAnsi="Arial"/>
                              <w:color w:val="404040"/>
                            </w:rPr>
                          </w:pPr>
                          <w:r w:rsidDel="00000000" w:rsidR="00000000" w:rsidRPr="00D06F79">
                            <w:rPr>
                              <w:rFonts w:ascii="Arial" w:hAnsi="Arial"/>
                              <w:color w:val="404040"/>
                            </w:rPr>
                            <w:t>F-GC-8</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2428875</wp:posOffset>
              </wp:positionH>
              <wp:positionV relativeFrom="paragraph">
                <wp:posOffset>165735</wp:posOffset>
              </wp:positionV>
              <wp:extent cx="1257300" cy="228600"/>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57300" cy="2286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2491740</wp:posOffset>
          </wp:positionH>
          <wp:positionV relativeFrom="paragraph">
            <wp:posOffset>28575</wp:posOffset>
          </wp:positionV>
          <wp:extent cx="926465" cy="85598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26465" cy="8559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2781" w:hanging="360"/>
      </w:pPr>
      <w:rPr>
        <w:u w:val="none"/>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rsid w:val="00153075"/>
    <w:pPr>
      <w:suppressAutoHyphens w:val="1"/>
      <w:spacing w:after="200" w:line="276" w:lineRule="auto"/>
    </w:pPr>
    <w:rPr>
      <w:rFonts w:ascii="Times New Roman" w:eastAsia="Times New Roman" w:hAnsi="Times New Roman"/>
      <w:lang w:eastAsia="zh-CN" w:val="es-ES"/>
    </w:rPr>
  </w:style>
  <w:style w:type="paragraph" w:styleId="Ttulo1">
    <w:name w:val="heading 1"/>
    <w:basedOn w:val="Normal"/>
    <w:next w:val="Normal"/>
    <w:link w:val="Ttulo1Car"/>
    <w:uiPriority w:val="9"/>
    <w:qFormat w:val="1"/>
    <w:rsid w:val="0001586E"/>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next w:val="Cuerpodetexto"/>
    <w:rsid w:val="0001578B"/>
    <w:pPr>
      <w:keepNext w:val="1"/>
      <w:spacing w:after="120" w:before="240"/>
    </w:pPr>
    <w:rPr>
      <w:rFonts w:ascii="Arial" w:cs="Lohit Hindi" w:eastAsia="Droid Sans" w:hAnsi="Arial"/>
      <w:sz w:val="28"/>
      <w:szCs w:val="28"/>
    </w:rPr>
  </w:style>
  <w:style w:type="paragraph" w:styleId="Cuerpodetexto" w:customStyle="1">
    <w:name w:val="Cuerpo de texto"/>
    <w:basedOn w:val="Normal"/>
    <w:rsid w:val="0001578B"/>
    <w:pPr>
      <w:spacing w:after="120"/>
    </w:pPr>
  </w:style>
  <w:style w:type="paragraph" w:styleId="Lista">
    <w:name w:val="List"/>
    <w:basedOn w:val="Cuerpodetexto"/>
    <w:rsid w:val="0001578B"/>
    <w:rPr>
      <w:rFonts w:cs="Lohit Hindi"/>
    </w:rPr>
  </w:style>
  <w:style w:type="paragraph" w:styleId="Pie" w:customStyle="1">
    <w:name w:val="Pie"/>
    <w:basedOn w:val="Normal"/>
    <w:rsid w:val="0001578B"/>
    <w:pPr>
      <w:suppressLineNumbers w:val="1"/>
      <w:spacing w:after="120" w:before="120"/>
    </w:pPr>
    <w:rPr>
      <w:rFonts w:cs="Lohit Hindi"/>
      <w:i w:val="1"/>
      <w:iCs w:val="1"/>
      <w:sz w:val="24"/>
      <w:szCs w:val="24"/>
    </w:rPr>
  </w:style>
  <w:style w:type="paragraph" w:styleId="ndice" w:customStyle="1">
    <w:name w:val="Índice"/>
    <w:basedOn w:val="Normal"/>
    <w:rsid w:val="0001578B"/>
    <w:pPr>
      <w:suppressLineNumbers w:val="1"/>
    </w:pPr>
    <w:rPr>
      <w:rFonts w:cs="Lohit Hindi"/>
    </w:rPr>
  </w:style>
  <w:style w:type="paragraph" w:styleId="Encabezamiento" w:customStyle="1">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styleId="Contenidodelmarco" w:customStyle="1">
    <w:name w:val="Contenido del marco"/>
    <w:basedOn w:val="Normal"/>
    <w:rsid w:val="0001578B"/>
  </w:style>
  <w:style w:type="paragraph" w:styleId="Textodeglobo">
    <w:name w:val="Balloon Text"/>
    <w:basedOn w:val="Normal"/>
    <w:link w:val="TextodegloboCar"/>
    <w:uiPriority w:val="99"/>
    <w:semiHidden w:val="1"/>
    <w:unhideWhenUsed w:val="1"/>
    <w:rsid w:val="00392EAA"/>
    <w:pPr>
      <w:spacing w:after="0" w:line="240" w:lineRule="auto"/>
    </w:pPr>
    <w:rPr>
      <w:rFonts w:ascii="Tahoma" w:cs="Tahoma" w:hAnsi="Tahoma"/>
      <w:sz w:val="16"/>
      <w:szCs w:val="16"/>
    </w:rPr>
  </w:style>
  <w:style w:type="character" w:styleId="TextodegloboCar" w:customStyle="1">
    <w:name w:val="Texto de globo Car"/>
    <w:link w:val="Textodeglobo"/>
    <w:uiPriority w:val="99"/>
    <w:semiHidden w:val="1"/>
    <w:rsid w:val="00392EAA"/>
    <w:rPr>
      <w:rFonts w:ascii="Tahoma" w:cs="Tahoma" w:eastAsia="Times New Roman" w:hAnsi="Tahoma"/>
      <w:sz w:val="16"/>
      <w:szCs w:val="16"/>
      <w:lang w:eastAsia="zh-CN" w:val="es-ES"/>
    </w:rPr>
  </w:style>
  <w:style w:type="paragraph" w:styleId="Normal1" w:customStyle="1">
    <w:name w:val="Normal1"/>
    <w:rsid w:val="00953CB1"/>
    <w:pPr>
      <w:suppressAutoHyphens w:val="1"/>
      <w:spacing w:after="200" w:line="276" w:lineRule="auto"/>
      <w:textAlignment w:val="baseline"/>
    </w:pPr>
    <w:rPr>
      <w:rFonts w:ascii="Times New Roman" w:eastAsia="Times New Roman" w:hAnsi="Times New Roman"/>
      <w:lang w:eastAsia="zh-CN" w:val="es-ES"/>
    </w:rPr>
  </w:style>
  <w:style w:type="character" w:styleId="apple-converted-space" w:customStyle="1">
    <w:name w:val="apple-converted-space"/>
    <w:basedOn w:val="Fuentedeprrafopredeter"/>
    <w:rsid w:val="0096675D"/>
  </w:style>
  <w:style w:type="paragraph" w:styleId="Fecha">
    <w:name w:val="Date"/>
    <w:basedOn w:val="Normal"/>
    <w:next w:val="Normal"/>
    <w:link w:val="FechaCar"/>
    <w:uiPriority w:val="99"/>
    <w:unhideWhenUsed w:val="1"/>
    <w:rsid w:val="005A5D40"/>
  </w:style>
  <w:style w:type="character" w:styleId="FechaCar" w:customStyle="1">
    <w:name w:val="Fecha Car"/>
    <w:link w:val="Fecha"/>
    <w:uiPriority w:val="99"/>
    <w:rsid w:val="005A5D40"/>
    <w:rPr>
      <w:rFonts w:ascii="Times New Roman" w:cs="Times New Roman" w:eastAsia="Times New Roman" w:hAnsi="Times New Roman"/>
      <w:sz w:val="20"/>
      <w:szCs w:val="20"/>
      <w:lang w:eastAsia="zh-CN" w:val="es-ES"/>
    </w:rPr>
  </w:style>
  <w:style w:type="paragraph" w:styleId="Ttulo">
    <w:name w:val="Title"/>
    <w:basedOn w:val="Normal"/>
    <w:next w:val="Normal"/>
    <w:link w:val="TtuloCar"/>
    <w:uiPriority w:val="10"/>
    <w:qFormat w:val="1"/>
    <w:rsid w:val="005A5D40"/>
    <w:pPr>
      <w:spacing w:after="0" w:line="240" w:lineRule="auto"/>
      <w:contextualSpacing w:val="1"/>
    </w:pPr>
    <w:rPr>
      <w:rFonts w:ascii="Cambria" w:eastAsia="MS Gothic" w:hAnsi="Cambria"/>
      <w:spacing w:val="-10"/>
      <w:kern w:val="28"/>
      <w:sz w:val="56"/>
      <w:szCs w:val="56"/>
    </w:rPr>
  </w:style>
  <w:style w:type="character" w:styleId="TtuloCar" w:customStyle="1">
    <w:name w:val="Título Car"/>
    <w:link w:val="Ttulo"/>
    <w:uiPriority w:val="10"/>
    <w:rsid w:val="005A5D40"/>
    <w:rPr>
      <w:rFonts w:ascii="Cambria" w:cs="Times New Roman" w:eastAsia="MS Gothic" w:hAnsi="Cambria"/>
      <w:spacing w:val="-10"/>
      <w:kern w:val="28"/>
      <w:sz w:val="56"/>
      <w:szCs w:val="56"/>
      <w:lang w:eastAsia="zh-CN" w:val="es-ES"/>
    </w:rPr>
  </w:style>
  <w:style w:type="paragraph" w:styleId="Subttulo">
    <w:name w:val="Subtitle"/>
    <w:basedOn w:val="Normal"/>
    <w:next w:val="Normal"/>
    <w:link w:val="SubttuloCar"/>
    <w:uiPriority w:val="11"/>
    <w:qFormat w:val="1"/>
    <w:rsid w:val="005A5D40"/>
    <w:pPr>
      <w:numPr>
        <w:ilvl w:val="1"/>
      </w:numPr>
      <w:spacing w:after="160"/>
    </w:pPr>
    <w:rPr>
      <w:rFonts w:ascii="Calibri" w:eastAsia="MS Mincho" w:hAnsi="Calibri"/>
      <w:color w:val="5a5a5a"/>
      <w:spacing w:val="15"/>
      <w:sz w:val="22"/>
      <w:szCs w:val="22"/>
    </w:rPr>
  </w:style>
  <w:style w:type="character" w:styleId="SubttuloCar" w:customStyle="1">
    <w:name w:val="Subtítulo Car"/>
    <w:link w:val="Subttulo"/>
    <w:uiPriority w:val="11"/>
    <w:rsid w:val="005A5D40"/>
    <w:rPr>
      <w:color w:val="5a5a5a"/>
      <w:spacing w:val="15"/>
      <w:lang w:eastAsia="zh-CN" w:val="es-ES"/>
    </w:rPr>
  </w:style>
  <w:style w:type="paragraph" w:styleId="Prrafodelista">
    <w:name w:val="List Paragraph"/>
    <w:basedOn w:val="Normal"/>
    <w:uiPriority w:val="34"/>
    <w:qFormat w:val="1"/>
    <w:rsid w:val="00D8006B"/>
    <w:pPr>
      <w:ind w:left="720"/>
      <w:contextualSpacing w:val="1"/>
    </w:pPr>
  </w:style>
  <w:style w:type="paragraph" w:styleId="NormalWeb">
    <w:name w:val="Normal (Web)"/>
    <w:basedOn w:val="Normal"/>
    <w:uiPriority w:val="99"/>
    <w:unhideWhenUsed w:val="1"/>
    <w:rsid w:val="006522D4"/>
    <w:pPr>
      <w:suppressAutoHyphens w:val="0"/>
      <w:spacing w:after="100" w:afterAutospacing="1" w:before="100" w:beforeAutospacing="1" w:line="240" w:lineRule="auto"/>
    </w:pPr>
    <w:rPr>
      <w:sz w:val="24"/>
      <w:szCs w:val="24"/>
      <w:lang w:eastAsia="en-US" w:val="en-US"/>
    </w:rPr>
  </w:style>
  <w:style w:type="character" w:styleId="Textoennegrita">
    <w:name w:val="Strong"/>
    <w:basedOn w:val="Fuentedeprrafopredeter"/>
    <w:uiPriority w:val="22"/>
    <w:qFormat w:val="1"/>
    <w:rsid w:val="006522D4"/>
    <w:rPr>
      <w:b w:val="1"/>
      <w:bCs w:val="1"/>
    </w:rPr>
  </w:style>
  <w:style w:type="character" w:styleId="Refdecomentario">
    <w:name w:val="annotation reference"/>
    <w:basedOn w:val="Fuentedeprrafopredeter"/>
    <w:uiPriority w:val="99"/>
    <w:semiHidden w:val="1"/>
    <w:unhideWhenUsed w:val="1"/>
    <w:rsid w:val="00A5358E"/>
    <w:rPr>
      <w:sz w:val="16"/>
      <w:szCs w:val="16"/>
    </w:rPr>
  </w:style>
  <w:style w:type="paragraph" w:styleId="Textocomentario">
    <w:name w:val="annotation text"/>
    <w:basedOn w:val="Normal"/>
    <w:link w:val="TextocomentarioCar"/>
    <w:uiPriority w:val="99"/>
    <w:semiHidden w:val="1"/>
    <w:unhideWhenUsed w:val="1"/>
    <w:rsid w:val="00A5358E"/>
    <w:pPr>
      <w:spacing w:line="240" w:lineRule="auto"/>
    </w:pPr>
  </w:style>
  <w:style w:type="character" w:styleId="TextocomentarioCar" w:customStyle="1">
    <w:name w:val="Texto comentario Car"/>
    <w:basedOn w:val="Fuentedeprrafopredeter"/>
    <w:link w:val="Textocomentario"/>
    <w:uiPriority w:val="99"/>
    <w:semiHidden w:val="1"/>
    <w:rsid w:val="00A5358E"/>
    <w:rPr>
      <w:rFonts w:ascii="Times New Roman" w:eastAsia="Times New Roman" w:hAnsi="Times New Roman"/>
      <w:lang w:eastAsia="zh-CN" w:val="es-ES"/>
    </w:rPr>
  </w:style>
  <w:style w:type="paragraph" w:styleId="Asuntodelcomentario">
    <w:name w:val="annotation subject"/>
    <w:basedOn w:val="Textocomentario"/>
    <w:next w:val="Textocomentario"/>
    <w:link w:val="AsuntodelcomentarioCar"/>
    <w:uiPriority w:val="99"/>
    <w:semiHidden w:val="1"/>
    <w:unhideWhenUsed w:val="1"/>
    <w:rsid w:val="00A5358E"/>
    <w:rPr>
      <w:b w:val="1"/>
      <w:bCs w:val="1"/>
    </w:rPr>
  </w:style>
  <w:style w:type="character" w:styleId="AsuntodelcomentarioCar" w:customStyle="1">
    <w:name w:val="Asunto del comentario Car"/>
    <w:basedOn w:val="TextocomentarioCar"/>
    <w:link w:val="Asuntodelcomentario"/>
    <w:uiPriority w:val="99"/>
    <w:semiHidden w:val="1"/>
    <w:rsid w:val="00A5358E"/>
    <w:rPr>
      <w:rFonts w:ascii="Times New Roman" w:eastAsia="Times New Roman" w:hAnsi="Times New Roman"/>
      <w:b w:val="1"/>
      <w:bCs w:val="1"/>
      <w:lang w:eastAsia="zh-CN" w:val="es-ES"/>
    </w:rPr>
  </w:style>
  <w:style w:type="character" w:styleId="Ttulo1Car" w:customStyle="1">
    <w:name w:val="Título 1 Car"/>
    <w:basedOn w:val="Fuentedeprrafopredeter"/>
    <w:link w:val="Ttulo1"/>
    <w:uiPriority w:val="9"/>
    <w:rsid w:val="0001586E"/>
    <w:rPr>
      <w:rFonts w:asciiTheme="majorHAnsi" w:cstheme="majorBidi" w:eastAsiaTheme="majorEastAsia" w:hAnsiTheme="majorHAnsi"/>
      <w:b w:val="1"/>
      <w:bCs w:val="1"/>
      <w:color w:val="2f5496" w:themeColor="accent1" w:themeShade="0000BF"/>
      <w:sz w:val="28"/>
      <w:szCs w:val="28"/>
      <w:lang w:eastAsia="zh-CN" w:val="es-ES"/>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2019-09-10T22:18:00Z</dcterms:created>
  <dc:creator>Rafael.Arevalo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0x0101001D384CF74C69974ABF62F473D9FCEC4E</vt:lpwstr>
  </property>
</Properties>
</file>