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C3" w:rsidRDefault="00C26BCA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COMISIÓN DISTRITAL DE SEGURIDAD, COMODIDAD Y CONVIVENCIA PARA EL FÚTBOL DE BOGOTÁ CDSCCFB  29 07- 2019</w:t>
      </w:r>
    </w:p>
    <w:p w:rsidR="00AA42C3" w:rsidRDefault="00AA42C3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AA42C3" w:rsidRDefault="00C2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La Comisión Distrital de Seguridad, Comodidad y Convivencia para el Fútbol de Bogotá -CDSCCFB, se permite informar las disposiciones establecidas para los próximos encuentros deportivos del fútbol profesional colombiano a realizarse en la ciudad de Bogotá,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reiterando que mantenemos la estrategia de un fútbol de puertas abiertas para los hinchas de los equipos de fútbol visitantes, con el fin de fortalecer el respeto en este deporte y prevenir todos los hechos contrarios a la seguridad y la convivencia asoci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ados al fútbol.</w:t>
      </w:r>
    </w:p>
    <w:p w:rsidR="00AA42C3" w:rsidRDefault="00AA4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 acuerdo con lo anterior, invitamos a todos los seguidores de los equipos de fútbol a rechazar cualquier acción de violencia que afecte la fiesta del fútbol y atente contra la sana convivencia en la ciudad, antes, durante y después de lo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s próximos eventos deportivos; en este sentido se espera un buen comportamiento de los aficionados, los hinchas y las barras futboleras en el Estadio Nemesio Camacho El Campín y Metropolitano de Techo, como en cada una de las localidades.</w:t>
      </w:r>
    </w:p>
    <w:p w:rsidR="00AA42C3" w:rsidRDefault="00AA4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Por lo tanto, la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CDSCCFB establece las siguientes medidas de seguridad y convivencia: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1. Copa Águila 2019: La Equidad vs Deportivo Pasto para el miércoles 31 de julio de 2019, en El Estadio Metropolitano de Techo.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Inicio del partido 7:30 p.m.</w:t>
      </w:r>
    </w:p>
    <w:p w:rsidR="00AA42C3" w:rsidRDefault="00C26BC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Apertura de puertas al públ</w:t>
      </w:r>
      <w:r>
        <w:rPr>
          <w:rFonts w:ascii="Arial Narrow" w:eastAsia="Arial Narrow" w:hAnsi="Arial Narrow" w:cs="Arial Narrow"/>
          <w:sz w:val="24"/>
          <w:szCs w:val="24"/>
        </w:rPr>
        <w:t>ico 6:30 p.m.</w:t>
      </w:r>
    </w:p>
    <w:p w:rsidR="00AA42C3" w:rsidRDefault="00C26BC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Ingreso de elementos de las barras futboleras de 6:00 p.m. a 7:00 p.m.</w:t>
      </w: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Se dispone de puertas abiertas a los aficionados, barras futboleras e hinchas visitantes.</w:t>
      </w: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  <w:t>Por acciones contrarias a la seguridad y convivencia, las barras futboleras del Deportivo Pasto, tienen vigente la restricción de sus elementos de animación para este encuentro deportivo.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 edad para ingresar a las tribunas es la siguiente: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5" w:hanging="425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Tribunas Oriental y Occidental desde los 5 años de edad.</w:t>
      </w:r>
    </w:p>
    <w:p w:rsidR="00AA42C3" w:rsidRDefault="00C26B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5" w:hanging="425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menores de 14 años deberán estar acompañados por un adulto responsable.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2. Torneo Águila 2019: Tigres F.C. vs Real Cartagena para el viernes 02 de agosto de 2019, en el Estadio Metropolitano de </w:t>
      </w:r>
      <w:r>
        <w:rPr>
          <w:rFonts w:ascii="Arial Narrow" w:eastAsia="Arial Narrow" w:hAnsi="Arial Narrow" w:cs="Arial Narrow"/>
          <w:sz w:val="24"/>
          <w:szCs w:val="24"/>
        </w:rPr>
        <w:t>Techo.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Inicio del partido 7:45 p.m.</w:t>
      </w: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Apertura de puertas al público 7:15 p.m.</w:t>
      </w: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Se dispone de puertas abiertas a los aficionados, barras futboleras e hinchas visitantes.</w:t>
      </w:r>
    </w:p>
    <w:p w:rsidR="00AA42C3" w:rsidRDefault="00AA4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 edad para ingresar a las tribunas es la siguiente: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Tribunas Oriental y Occidental desde los 5 años de edad.</w:t>
      </w:r>
    </w:p>
    <w:p w:rsidR="00AA42C3" w:rsidRDefault="00C26B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menores de 14 años deberán estar acompañados por un adulto responsable.</w:t>
      </w:r>
    </w:p>
    <w:p w:rsidR="00AA42C3" w:rsidRDefault="00AA4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3. Liga Femenina Águila 2019: Millonarios F.C. vs Independiente Santa Fe. Liga Águila 2019 II semestre: Millonarios F.C. </w:t>
      </w:r>
      <w:r>
        <w:rPr>
          <w:rFonts w:ascii="Arial Narrow" w:eastAsia="Arial Narrow" w:hAnsi="Arial Narrow" w:cs="Arial Narrow"/>
          <w:sz w:val="24"/>
          <w:szCs w:val="24"/>
        </w:rPr>
        <w:t>vs Jaguares, para el sábado 03 de agosto de 2019, en el Estadio Nemesio Camacho El Campín.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Inicio del partido (Millonarios F.C. vs Independiente Santa Fe) 5:00 p.m.</w:t>
      </w:r>
    </w:p>
    <w:p w:rsidR="00AA42C3" w:rsidRDefault="00C26BC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Inicio del partido (Millonarios F.C. vs Jaguares) 8:00 p.m.</w:t>
      </w:r>
    </w:p>
    <w:p w:rsidR="00AA42C3" w:rsidRDefault="00C26BC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Apertura de puertas al público 4:30 p.m.</w:t>
      </w:r>
    </w:p>
    <w:p w:rsidR="00AA42C3" w:rsidRDefault="00C26BCA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Se dispone de puertas abiertas a los aficionados e hinchas visitantes.</w:t>
      </w:r>
    </w:p>
    <w:p w:rsidR="00AA42C3" w:rsidRPr="007B10BD" w:rsidRDefault="00C26BCA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Por acciones contrarias a la seguridad y convivencia, la barra futbolera La Guardia Albi Roja Sur</w:t>
      </w:r>
      <w:r>
        <w:rPr>
          <w:rFonts w:ascii="Arial Narrow" w:eastAsia="Arial Narrow" w:hAnsi="Arial Narrow" w:cs="Arial Narrow"/>
          <w:b/>
          <w:i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tiene vigente la restricción de sus elementos de animación para este encuentro deportivo.</w:t>
      </w:r>
    </w:p>
    <w:p w:rsidR="007B10BD" w:rsidRPr="007B10BD" w:rsidRDefault="007B10BD" w:rsidP="007B10BD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7B10BD">
        <w:rPr>
          <w:rFonts w:ascii="Arial Narrow" w:eastAsia="Arial Narrow" w:hAnsi="Arial Narrow" w:cs="Arial Narrow"/>
          <w:b/>
          <w:sz w:val="24"/>
          <w:szCs w:val="24"/>
          <w:u w:val="single"/>
        </w:rPr>
        <w:t>Por acciones contrarias a la seguridad y convivencia</w:t>
      </w:r>
      <w:r w:rsidRPr="007B10BD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que se detallan en el punto 7 de este comunicado,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a las barras futboleras Blue Rain y Comandos Azules </w:t>
      </w:r>
      <w:r w:rsidRPr="007B10BD">
        <w:rPr>
          <w:rFonts w:ascii="Arial Narrow" w:eastAsia="Arial Narrow" w:hAnsi="Arial Narrow" w:cs="Arial Narrow"/>
          <w:b/>
          <w:sz w:val="24"/>
          <w:szCs w:val="24"/>
          <w:u w:val="single"/>
        </w:rPr>
        <w:t>se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les</w:t>
      </w:r>
      <w:r w:rsidRPr="007B10BD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restringe el ingreso </w:t>
      </w:r>
      <w:r w:rsidRPr="007B10BD">
        <w:rPr>
          <w:rFonts w:ascii="Arial Narrow" w:eastAsia="Arial Narrow" w:hAnsi="Arial Narrow" w:cs="Arial Narrow"/>
          <w:b/>
          <w:sz w:val="24"/>
          <w:szCs w:val="24"/>
          <w:u w:val="single"/>
        </w:rPr>
        <w:t>de</w:t>
      </w:r>
      <w:r w:rsidRPr="007B10BD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elementos de </w:t>
      </w:r>
      <w:r w:rsidRPr="007B10BD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animación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para este encuentro deportivo.</w:t>
      </w:r>
      <w:bookmarkStart w:id="1" w:name="_GoBack"/>
      <w:bookmarkEnd w:id="1"/>
    </w:p>
    <w:p w:rsidR="007B10BD" w:rsidRDefault="007B10BD" w:rsidP="007B10BD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 edad para ingresar a las tribunas es la siguiente:</w:t>
      </w:r>
    </w:p>
    <w:p w:rsidR="00AA42C3" w:rsidRDefault="00AA42C3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Tribuna Sur desde los 14 años de edad.</w:t>
      </w:r>
    </w:p>
    <w:p w:rsidR="00AA42C3" w:rsidRDefault="00C26B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Tribuna Norte desde los 5 años hasta los 12 años de edad.</w:t>
      </w:r>
    </w:p>
    <w:p w:rsidR="00AA42C3" w:rsidRDefault="00C26BC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Tribunas Orie</w:t>
      </w:r>
      <w:r>
        <w:rPr>
          <w:rFonts w:ascii="Arial Narrow" w:eastAsia="Arial Narrow" w:hAnsi="Arial Narrow" w:cs="Arial Narrow"/>
          <w:sz w:val="24"/>
          <w:szCs w:val="24"/>
        </w:rPr>
        <w:t>ntal y Occidental desde los 5 años de edad.</w:t>
      </w:r>
    </w:p>
    <w:p w:rsidR="00AA42C3" w:rsidRDefault="00C26B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menores de 14 años deberán estar acompañados por un adulto responsable.</w:t>
      </w:r>
    </w:p>
    <w:p w:rsidR="00AA42C3" w:rsidRDefault="00AA42C3">
      <w:pPr>
        <w:spacing w:after="0" w:line="240" w:lineRule="auto"/>
        <w:ind w:left="2781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4. Torneo Águila: Patriotas Boyacá vs Rio Negro, el domingo 04 de agosto de 2019, en el Estadio Metropolitano de Techo.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Inicio del partido 5:45 p.m.</w:t>
      </w: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Apertura de puertas al público 5:15 p.m.</w:t>
      </w:r>
    </w:p>
    <w:p w:rsidR="00AA42C3" w:rsidRDefault="00C26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Se dispone de puertas abiertas a los aficionados, barras futboleras e hinchas visitantes.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 edad para ingresar a las tribunas es la siguiente: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Tribunas Oriental y Occidental desde los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5 años de edad.</w:t>
      </w:r>
    </w:p>
    <w:p w:rsidR="00AA42C3" w:rsidRDefault="00C26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menores de 14 años deberán estar acompañados por un adulto responsable.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5. De acuerdo con el numeral 5.8.12 del Protocolo Nacional para la Seguridad, Comodidad y Convivencia en el Fútbol, está prohibido el ingreso de los siguientes elementos a los estadios El Campín y Techo: 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a) Pólvora.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b) Juegos pirotécnicos de cualquier ti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po.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c) Elementos de animación activados por combustible líquido o a gas.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d) Globos de helio o cualquier otro elemento de combustión.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e) Alcohol.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f) Sustancias Psicotrópicas.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g) Botas para almacenar alcohol.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h) Correas de chapa gruesa.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  <w:t>Morrales o maletines.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j) Bolsas de cualquier tipo.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k) Elementos de rayo láser.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l) Armas blancas.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m) Armas de fuego.</w:t>
      </w: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n) Sombrillas.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6. Invitamos a todos los asistentes a los estadios Nemesio Camacho El Campín y Metropolitano de Techo a utilizar los parquea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deros debidamente autorizados o a que se movilicen en transporte público, ya que está prohibido parquear los vehículos en los espacios públicos, aledaños a los estadios, y pueden estar sujetos a multas e inmovilización de los mismos por parte de las autori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dades competentes.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7. Debido a los hechos del 21 de julio de 2019, durante el encuentro deportivo entre Millonarios F.C y Once Caldas en el Estadio Nemesio Camacho El Campín, donde se presentó una riña entre las barras futboleras Comando Azules y Blue Rai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n en la tribuna sur, situación que puso en riesgo la seguridad y la convivencia de los asistentes al evento, la CDSCCFB tomó la siguiente medida:</w:t>
      </w:r>
    </w:p>
    <w:p w:rsidR="00AA42C3" w:rsidRDefault="00AA4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Restringir a las barras futboleras de Millonarios Comandos Azules y Blue Rain, el ingreso de elementos de animación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(frente de barras, frente de parches, instrumentos musicales, rollos de papel, sombrillas, banderas con astas y/o cualquier otro elemento)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todas las tribunas tanto del Estadio El Nemesio Camacho El Campín como del Estadio Metropolitano de Techo, para toda clase de partidos, ya sea local o internacional que juegue Millonarios F.C. en la ciudad de Bogotá (local o visitante), por cinco (5) fech</w:t>
      </w:r>
      <w:r w:rsidR="0076135F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as, con posibilidad de medida pedagógica o restaurativa de disminución de fechas. 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AA42C3" w:rsidRDefault="00C26BCA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Cordialment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e,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C26BCA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COMISIÓN DISTRITAL DE SEGURIDAD, COMODIDAD Y CONVIVENCIA PARA EL FÚTBOL DE BOGOTÁ</w:t>
      </w: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A42C3" w:rsidRDefault="00AA42C3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AA42C3">
      <w:headerReference w:type="default" r:id="rId8"/>
      <w:footerReference w:type="default" r:id="rId9"/>
      <w:pgSz w:w="12240" w:h="15840"/>
      <w:pgMar w:top="226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CA" w:rsidRDefault="00C26BCA">
      <w:pPr>
        <w:spacing w:after="0" w:line="240" w:lineRule="auto"/>
      </w:pPr>
      <w:r>
        <w:separator/>
      </w:r>
    </w:p>
  </w:endnote>
  <w:endnote w:type="continuationSeparator" w:id="0">
    <w:p w:rsidR="00C26BCA" w:rsidRDefault="00C2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C3" w:rsidRDefault="00C26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-452754</wp:posOffset>
              </wp:positionH>
              <wp:positionV relativeFrom="paragraph">
                <wp:posOffset>-247649</wp:posOffset>
              </wp:positionV>
              <wp:extent cx="1828800" cy="800100"/>
              <wp:effectExtent l="0" t="0" r="0" b="0"/>
              <wp:wrapNone/>
              <wp:docPr id="6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7590A" w:rsidRDefault="00C26BCA" w:rsidP="00392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C7590A" w:rsidRPr="00A026ED" w:rsidRDefault="00C26BCA" w:rsidP="00392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C7590A" w:rsidRDefault="00C26BCA" w:rsidP="00392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proofErr w:type="spellStart"/>
                          <w:r w:rsidRPr="00A026ED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Av</w:t>
                          </w:r>
                          <w:proofErr w:type="spellEnd"/>
                          <w:r w:rsidRPr="00A026ED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Calle 26 No. 57 – 83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Torre 7  </w:t>
                          </w:r>
                        </w:p>
                        <w:p w:rsidR="00C7590A" w:rsidRDefault="00C26BCA" w:rsidP="00392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Código Postal: 111321</w:t>
                          </w:r>
                        </w:p>
                        <w:p w:rsidR="00C7590A" w:rsidRDefault="00C26BCA" w:rsidP="00392EAA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www.scj.gov.co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-452754</wp:posOffset>
              </wp:positionH>
              <wp:positionV relativeFrom="paragraph">
                <wp:posOffset>-247649</wp:posOffset>
              </wp:positionV>
              <wp:extent cx="1828800" cy="8001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5013325</wp:posOffset>
          </wp:positionH>
          <wp:positionV relativeFrom="paragraph">
            <wp:posOffset>-180974</wp:posOffset>
          </wp:positionV>
          <wp:extent cx="941070" cy="690880"/>
          <wp:effectExtent l="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070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2428875</wp:posOffset>
              </wp:positionH>
              <wp:positionV relativeFrom="paragraph">
                <wp:posOffset>165735</wp:posOffset>
              </wp:positionV>
              <wp:extent cx="1257300" cy="228600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590A" w:rsidRPr="00D06F79" w:rsidRDefault="00C26BCA" w:rsidP="00847139">
                          <w:pPr>
                            <w:jc w:val="center"/>
                            <w:rPr>
                              <w:rFonts w:ascii="Arial" w:hAnsi="Arial"/>
                              <w:color w:val="404040"/>
                            </w:rPr>
                          </w:pPr>
                          <w:r w:rsidRPr="00D06F79">
                            <w:rPr>
                              <w:rFonts w:ascii="Arial" w:hAnsi="Arial"/>
                              <w:color w:val="404040"/>
                            </w:rPr>
                            <w:t>F-GC-8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2428875</wp:posOffset>
              </wp:positionH>
              <wp:positionV relativeFrom="paragraph">
                <wp:posOffset>165735</wp:posOffset>
              </wp:positionV>
              <wp:extent cx="1257300" cy="22860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0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CA" w:rsidRDefault="00C26BCA">
      <w:pPr>
        <w:spacing w:after="0" w:line="240" w:lineRule="auto"/>
      </w:pPr>
      <w:r>
        <w:separator/>
      </w:r>
    </w:p>
  </w:footnote>
  <w:footnote w:type="continuationSeparator" w:id="0">
    <w:p w:rsidR="00C26BCA" w:rsidRDefault="00C2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C3" w:rsidRDefault="00C26BCA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2491740</wp:posOffset>
          </wp:positionH>
          <wp:positionV relativeFrom="paragraph">
            <wp:posOffset>28575</wp:posOffset>
          </wp:positionV>
          <wp:extent cx="926465" cy="855980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465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B06"/>
    <w:multiLevelType w:val="multilevel"/>
    <w:tmpl w:val="6A6AC686"/>
    <w:lvl w:ilvl="0">
      <w:start w:val="1"/>
      <w:numFmt w:val="decimal"/>
      <w:lvlText w:val="%1."/>
      <w:lvlJc w:val="left"/>
      <w:pPr>
        <w:ind w:left="278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30054BE"/>
    <w:multiLevelType w:val="multilevel"/>
    <w:tmpl w:val="838C0522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D4584E"/>
    <w:multiLevelType w:val="multilevel"/>
    <w:tmpl w:val="08169DD2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533ED8"/>
    <w:multiLevelType w:val="multilevel"/>
    <w:tmpl w:val="5E741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D51730"/>
    <w:multiLevelType w:val="multilevel"/>
    <w:tmpl w:val="8488F000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2C3"/>
    <w:rsid w:val="004755B7"/>
    <w:rsid w:val="0076135F"/>
    <w:rsid w:val="007B10BD"/>
    <w:rsid w:val="00AA42C3"/>
    <w:rsid w:val="00C26BCA"/>
    <w:rsid w:val="00C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075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A5D40"/>
    <w:pPr>
      <w:spacing w:after="0" w:line="240" w:lineRule="auto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styleId="Encabezado">
    <w:name w:val="header"/>
    <w:basedOn w:val="Normal"/>
    <w:next w:val="Cuerpodetexto"/>
    <w:rsid w:val="0001578B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rsid w:val="0001578B"/>
    <w:pPr>
      <w:spacing w:after="120"/>
    </w:pPr>
  </w:style>
  <w:style w:type="paragraph" w:styleId="Lista">
    <w:name w:val="List"/>
    <w:basedOn w:val="Cuerpodetexto"/>
    <w:rsid w:val="0001578B"/>
    <w:rPr>
      <w:rFonts w:cs="Lohit Hindi"/>
    </w:rPr>
  </w:style>
  <w:style w:type="paragraph" w:customStyle="1" w:styleId="Pie">
    <w:name w:val="Pie"/>
    <w:basedOn w:val="Normal"/>
    <w:rsid w:val="0001578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1578B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rsid w:val="000157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578B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01578B"/>
  </w:style>
  <w:style w:type="paragraph" w:styleId="Textodeglobo">
    <w:name w:val="Balloon Text"/>
    <w:basedOn w:val="Normal"/>
    <w:link w:val="TextodegloboCar"/>
    <w:uiPriority w:val="99"/>
    <w:semiHidden/>
    <w:unhideWhenUsed/>
    <w:rsid w:val="003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EAA"/>
    <w:rPr>
      <w:rFonts w:ascii="Tahoma" w:eastAsia="Times New Roman" w:hAnsi="Tahoma" w:cs="Tahoma"/>
      <w:sz w:val="16"/>
      <w:szCs w:val="16"/>
      <w:lang w:val="es-ES" w:eastAsia="zh-CN"/>
    </w:rPr>
  </w:style>
  <w:style w:type="paragraph" w:customStyle="1" w:styleId="Normal1">
    <w:name w:val="Normal1"/>
    <w:rsid w:val="00953CB1"/>
    <w:pPr>
      <w:suppressAutoHyphens/>
      <w:textAlignment w:val="baseline"/>
    </w:pPr>
    <w:rPr>
      <w:lang w:eastAsia="zh-CN"/>
    </w:rPr>
  </w:style>
  <w:style w:type="character" w:customStyle="1" w:styleId="apple-converted-space">
    <w:name w:val="apple-converted-space"/>
    <w:basedOn w:val="Fuentedeprrafopredeter"/>
    <w:rsid w:val="0096675D"/>
  </w:style>
  <w:style w:type="paragraph" w:styleId="Fecha">
    <w:name w:val="Date"/>
    <w:basedOn w:val="Normal"/>
    <w:next w:val="Normal"/>
    <w:link w:val="FechaCar"/>
    <w:uiPriority w:val="99"/>
    <w:unhideWhenUsed/>
    <w:rsid w:val="005A5D40"/>
  </w:style>
  <w:style w:type="character" w:customStyle="1" w:styleId="FechaCar">
    <w:name w:val="Fecha Car"/>
    <w:link w:val="Fecha"/>
    <w:uiPriority w:val="99"/>
    <w:rsid w:val="005A5D40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tuloCar">
    <w:name w:val="Título Car"/>
    <w:link w:val="Ttulo"/>
    <w:uiPriority w:val="10"/>
    <w:rsid w:val="005A5D40"/>
    <w:rPr>
      <w:rFonts w:ascii="Cambria" w:eastAsia="MS Gothic" w:hAnsi="Cambria" w:cs="Times New Roman"/>
      <w:spacing w:val="-10"/>
      <w:kern w:val="28"/>
      <w:sz w:val="56"/>
      <w:szCs w:val="56"/>
      <w:lang w:val="es-ES" w:eastAsia="zh-CN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ar">
    <w:name w:val="Subtítulo Car"/>
    <w:link w:val="Subttulo"/>
    <w:uiPriority w:val="11"/>
    <w:rsid w:val="005A5D40"/>
    <w:rPr>
      <w:color w:val="5A5A5A"/>
      <w:spacing w:val="15"/>
      <w:lang w:val="es-ES" w:eastAsia="zh-CN"/>
    </w:rPr>
  </w:style>
  <w:style w:type="paragraph" w:styleId="Prrafodelista">
    <w:name w:val="List Paragraph"/>
    <w:basedOn w:val="Normal"/>
    <w:uiPriority w:val="34"/>
    <w:qFormat/>
    <w:rsid w:val="00D800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22D4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652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075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A5D40"/>
    <w:pPr>
      <w:spacing w:after="0" w:line="240" w:lineRule="auto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styleId="Encabezado">
    <w:name w:val="header"/>
    <w:basedOn w:val="Normal"/>
    <w:next w:val="Cuerpodetexto"/>
    <w:rsid w:val="0001578B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rsid w:val="0001578B"/>
    <w:pPr>
      <w:spacing w:after="120"/>
    </w:pPr>
  </w:style>
  <w:style w:type="paragraph" w:styleId="Lista">
    <w:name w:val="List"/>
    <w:basedOn w:val="Cuerpodetexto"/>
    <w:rsid w:val="0001578B"/>
    <w:rPr>
      <w:rFonts w:cs="Lohit Hindi"/>
    </w:rPr>
  </w:style>
  <w:style w:type="paragraph" w:customStyle="1" w:styleId="Pie">
    <w:name w:val="Pie"/>
    <w:basedOn w:val="Normal"/>
    <w:rsid w:val="0001578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1578B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rsid w:val="000157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578B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01578B"/>
  </w:style>
  <w:style w:type="paragraph" w:styleId="Textodeglobo">
    <w:name w:val="Balloon Text"/>
    <w:basedOn w:val="Normal"/>
    <w:link w:val="TextodegloboCar"/>
    <w:uiPriority w:val="99"/>
    <w:semiHidden/>
    <w:unhideWhenUsed/>
    <w:rsid w:val="003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EAA"/>
    <w:rPr>
      <w:rFonts w:ascii="Tahoma" w:eastAsia="Times New Roman" w:hAnsi="Tahoma" w:cs="Tahoma"/>
      <w:sz w:val="16"/>
      <w:szCs w:val="16"/>
      <w:lang w:val="es-ES" w:eastAsia="zh-CN"/>
    </w:rPr>
  </w:style>
  <w:style w:type="paragraph" w:customStyle="1" w:styleId="Normal1">
    <w:name w:val="Normal1"/>
    <w:rsid w:val="00953CB1"/>
    <w:pPr>
      <w:suppressAutoHyphens/>
      <w:textAlignment w:val="baseline"/>
    </w:pPr>
    <w:rPr>
      <w:lang w:eastAsia="zh-CN"/>
    </w:rPr>
  </w:style>
  <w:style w:type="character" w:customStyle="1" w:styleId="apple-converted-space">
    <w:name w:val="apple-converted-space"/>
    <w:basedOn w:val="Fuentedeprrafopredeter"/>
    <w:rsid w:val="0096675D"/>
  </w:style>
  <w:style w:type="paragraph" w:styleId="Fecha">
    <w:name w:val="Date"/>
    <w:basedOn w:val="Normal"/>
    <w:next w:val="Normal"/>
    <w:link w:val="FechaCar"/>
    <w:uiPriority w:val="99"/>
    <w:unhideWhenUsed/>
    <w:rsid w:val="005A5D40"/>
  </w:style>
  <w:style w:type="character" w:customStyle="1" w:styleId="FechaCar">
    <w:name w:val="Fecha Car"/>
    <w:link w:val="Fecha"/>
    <w:uiPriority w:val="99"/>
    <w:rsid w:val="005A5D40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tuloCar">
    <w:name w:val="Título Car"/>
    <w:link w:val="Ttulo"/>
    <w:uiPriority w:val="10"/>
    <w:rsid w:val="005A5D40"/>
    <w:rPr>
      <w:rFonts w:ascii="Cambria" w:eastAsia="MS Gothic" w:hAnsi="Cambria" w:cs="Times New Roman"/>
      <w:spacing w:val="-10"/>
      <w:kern w:val="28"/>
      <w:sz w:val="56"/>
      <w:szCs w:val="56"/>
      <w:lang w:val="es-ES" w:eastAsia="zh-CN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ar">
    <w:name w:val="Subtítulo Car"/>
    <w:link w:val="Subttulo"/>
    <w:uiPriority w:val="11"/>
    <w:rsid w:val="005A5D40"/>
    <w:rPr>
      <w:color w:val="5A5A5A"/>
      <w:spacing w:val="15"/>
      <w:lang w:val="es-ES" w:eastAsia="zh-CN"/>
    </w:rPr>
  </w:style>
  <w:style w:type="paragraph" w:styleId="Prrafodelista">
    <w:name w:val="List Paragraph"/>
    <w:basedOn w:val="Normal"/>
    <w:uiPriority w:val="34"/>
    <w:qFormat/>
    <w:rsid w:val="00D800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22D4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652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Rafael.Arevalo</dc:creator>
  <cp:lastModifiedBy>Karla Marcela Neira Suarez</cp:lastModifiedBy>
  <cp:revision>2</cp:revision>
  <dcterms:created xsi:type="dcterms:W3CDTF">2019-07-31T00:02:00Z</dcterms:created>
  <dcterms:modified xsi:type="dcterms:W3CDTF">2019-07-31T00:02:00Z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0x0101001D384CF74C69974ABF62F473D9FCEC4E</vt:lpwstr>
  </property>
</Properties>
</file>